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16" w:rsidRPr="00BA685F" w:rsidRDefault="00575A83" w:rsidP="00852F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Перелік </w:t>
      </w:r>
      <w:r w:rsidR="00DF7933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Класифікація </w:t>
      </w:r>
      <w:proofErr w:type="spellStart"/>
      <w:r w:rsidR="00DF7933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</w:t>
      </w:r>
      <w:r w:rsidR="00B17716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орупцій</w:t>
      </w:r>
      <w:r w:rsidR="00DF7933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них</w:t>
      </w:r>
      <w:proofErr w:type="spellEnd"/>
      <w:r w:rsidR="00DF7933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DF7933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ризиків</w:t>
      </w:r>
      <w:proofErr w:type="spellEnd"/>
      <w:r w:rsidR="0000436A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4C46AA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4C46AA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</w:t>
      </w:r>
      <w:r w:rsidR="00673DC8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73DC8" w:rsidRPr="00BA68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Національної металургійної академії України </w:t>
      </w:r>
    </w:p>
    <w:p w:rsidR="00582C6B" w:rsidRPr="00BA685F" w:rsidRDefault="00582C6B" w:rsidP="00852F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B74C5" w:rsidRPr="00BA685F" w:rsidRDefault="00CB74C5" w:rsidP="00852FE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Як відомо, корупція є однією із найнебезпечніших загроз правам людини, демократії, правопорядку, чесності та соціальній справедливості, вона перешкоджає економічному розвиткові та загрожує належному і справедливому функціонуванню країн, має негативні фінансові наслідки для громадян, компаній і держав, а також для міжнародних установ.</w:t>
      </w:r>
      <w:r w:rsidRPr="00BA685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82C6B" w:rsidRPr="00BA68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сьогоднішній день в нашій державі здійснюється низка заходів у сфері запобігання та протидії корупції, більша частина з яких направлена саме на запобігання корупції, як і в більшості країн Європи.</w:t>
      </w:r>
    </w:p>
    <w:p w:rsidR="00C27A24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Освіта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тому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оминула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доля бути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корупційно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інфі</w:t>
      </w:r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кованою</w:t>
      </w:r>
      <w:proofErr w:type="spellEnd"/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проблем,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бажань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потреб 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суспільстві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традиційно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повязується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неправом</w:t>
      </w:r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ірною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винагородою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власним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зиском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цьому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зиск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отримують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посадовці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споживачі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адміністративних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отримують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неправом</w:t>
      </w:r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ірну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вигоду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вирішення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шляхом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Потерпілими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взаємовигідної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співпраці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лишається</w:t>
      </w:r>
      <w:proofErr w:type="spellEnd"/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молодь,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таких умов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позбавляються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гідного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майбутнього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7716" w:rsidRPr="00BA68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7A24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Корупційними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ризиками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традиційно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вважають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явищ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сукупності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призвести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зловживань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будь-якій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суспільного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тому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вищої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ідірвати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позбавивши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стратегічного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</w:t>
      </w:r>
      <w:r w:rsidR="00C27A24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рсу.</w:t>
      </w:r>
    </w:p>
    <w:p w:rsidR="0015508C" w:rsidRPr="00BA685F" w:rsidRDefault="0015508C" w:rsidP="00852FEE">
      <w:pPr>
        <w:pStyle w:val="2"/>
        <w:shd w:val="clear" w:color="auto" w:fill="auto"/>
        <w:tabs>
          <w:tab w:val="left" w:pos="1070"/>
        </w:tabs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BA685F">
        <w:rPr>
          <w:rStyle w:val="1"/>
          <w:sz w:val="28"/>
          <w:szCs w:val="28"/>
        </w:rPr>
        <w:t xml:space="preserve">    </w:t>
      </w:r>
      <w:r w:rsidRPr="00BA685F">
        <w:rPr>
          <w:rStyle w:val="1"/>
          <w:b/>
          <w:sz w:val="28"/>
          <w:szCs w:val="28"/>
        </w:rPr>
        <w:t>Ідентифікація корупційних ризиків передбачає визначення та класифікацію корупційних ризиків за категоріями та видами.</w:t>
      </w:r>
    </w:p>
    <w:p w:rsidR="0015508C" w:rsidRPr="00BA685F" w:rsidRDefault="0015508C" w:rsidP="00852FE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A685F">
        <w:rPr>
          <w:rStyle w:val="1"/>
          <w:b/>
          <w:sz w:val="28"/>
          <w:szCs w:val="28"/>
        </w:rPr>
        <w:t>За категоріями корупційні ризики можуть бути зовнішні</w:t>
      </w:r>
      <w:r w:rsidRPr="00BA685F">
        <w:rPr>
          <w:rStyle w:val="1"/>
          <w:sz w:val="28"/>
          <w:szCs w:val="28"/>
        </w:rPr>
        <w:t xml:space="preserve"> (ймовірність виникнення корупційних ризиків не пов'язана з виконанням </w:t>
      </w:r>
      <w:r w:rsidRPr="00BA685F">
        <w:rPr>
          <w:bCs/>
          <w:color w:val="000000"/>
          <w:kern w:val="36"/>
          <w:sz w:val="28"/>
          <w:szCs w:val="28"/>
          <w:lang w:val="uk-UA" w:eastAsia="ru-RU"/>
        </w:rPr>
        <w:t xml:space="preserve">Національної металургійної академії України (далі </w:t>
      </w:r>
      <w:proofErr w:type="spellStart"/>
      <w:r w:rsidRPr="00BA685F">
        <w:rPr>
          <w:rStyle w:val="1"/>
          <w:sz w:val="28"/>
          <w:szCs w:val="28"/>
        </w:rPr>
        <w:t>НМетАУ</w:t>
      </w:r>
      <w:proofErr w:type="spellEnd"/>
      <w:r w:rsidRPr="00BA685F">
        <w:rPr>
          <w:rStyle w:val="1"/>
          <w:sz w:val="28"/>
          <w:szCs w:val="28"/>
        </w:rPr>
        <w:t xml:space="preserve">)  відповідних функцій та завдань) та </w:t>
      </w:r>
      <w:r w:rsidRPr="00BA685F">
        <w:rPr>
          <w:rStyle w:val="1"/>
          <w:b/>
          <w:sz w:val="28"/>
          <w:szCs w:val="28"/>
        </w:rPr>
        <w:t xml:space="preserve">внутрішні </w:t>
      </w:r>
      <w:r w:rsidRPr="00BA685F">
        <w:rPr>
          <w:rStyle w:val="1"/>
          <w:sz w:val="28"/>
          <w:szCs w:val="28"/>
        </w:rPr>
        <w:t xml:space="preserve">(ймовірність виникнення корупційних ризиків безпосередньо пов'язана з виконанням організаційно-управлінської діяльності в </w:t>
      </w:r>
      <w:proofErr w:type="spellStart"/>
      <w:r w:rsidRPr="00BA685F">
        <w:rPr>
          <w:rStyle w:val="1"/>
          <w:sz w:val="28"/>
          <w:szCs w:val="28"/>
        </w:rPr>
        <w:t>НМетАУ</w:t>
      </w:r>
      <w:proofErr w:type="spellEnd"/>
      <w:r w:rsidRPr="00BA685F">
        <w:rPr>
          <w:rStyle w:val="1"/>
          <w:sz w:val="28"/>
          <w:szCs w:val="28"/>
        </w:rPr>
        <w:t xml:space="preserve"> відповідно до покладених на нього функцій і завдань).</w:t>
      </w:r>
    </w:p>
    <w:p w:rsidR="0015508C" w:rsidRPr="00BA685F" w:rsidRDefault="0015508C" w:rsidP="00852FE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A685F">
        <w:rPr>
          <w:rStyle w:val="1"/>
          <w:b/>
          <w:sz w:val="28"/>
          <w:szCs w:val="28"/>
        </w:rPr>
        <w:t>За видами корупційні ризики можуть бути нормативно-правові</w:t>
      </w:r>
      <w:r w:rsidRPr="00BA685F">
        <w:rPr>
          <w:rStyle w:val="1"/>
          <w:sz w:val="28"/>
          <w:szCs w:val="28"/>
        </w:rPr>
        <w:t xml:space="preserve"> (відсутність, суперечність або нечітка регламентація у правових актах локальної дії положень щодо виконання </w:t>
      </w:r>
      <w:proofErr w:type="spellStart"/>
      <w:r w:rsidR="00575A83" w:rsidRPr="00BA685F">
        <w:rPr>
          <w:rStyle w:val="1"/>
          <w:sz w:val="28"/>
          <w:szCs w:val="28"/>
        </w:rPr>
        <w:t>НМетАУ</w:t>
      </w:r>
      <w:proofErr w:type="spellEnd"/>
      <w:r w:rsidRPr="00BA685F">
        <w:rPr>
          <w:rStyle w:val="1"/>
          <w:sz w:val="28"/>
          <w:szCs w:val="28"/>
        </w:rPr>
        <w:t xml:space="preserve"> функцій та завдань); організаційні (</w:t>
      </w:r>
      <w:proofErr w:type="spellStart"/>
      <w:r w:rsidRPr="00BA685F">
        <w:rPr>
          <w:rStyle w:val="1"/>
          <w:sz w:val="28"/>
          <w:szCs w:val="28"/>
        </w:rPr>
        <w:t>невизначення</w:t>
      </w:r>
      <w:proofErr w:type="spellEnd"/>
      <w:r w:rsidRPr="00BA685F">
        <w:rPr>
          <w:rStyle w:val="1"/>
          <w:sz w:val="28"/>
          <w:szCs w:val="28"/>
        </w:rPr>
        <w:t xml:space="preserve"> або нечітке визначення процедур виконання </w:t>
      </w:r>
      <w:proofErr w:type="spellStart"/>
      <w:r w:rsidR="00575A83" w:rsidRPr="00BA685F">
        <w:rPr>
          <w:rStyle w:val="1"/>
          <w:sz w:val="28"/>
          <w:szCs w:val="28"/>
        </w:rPr>
        <w:t>НМетАУ</w:t>
      </w:r>
      <w:proofErr w:type="spellEnd"/>
      <w:r w:rsidRPr="00BA685F">
        <w:rPr>
          <w:rStyle w:val="1"/>
          <w:sz w:val="28"/>
          <w:szCs w:val="28"/>
        </w:rPr>
        <w:t xml:space="preserve"> функцій та завдань); кадрові; фінансово-господарські; адміністративні тощо.</w:t>
      </w:r>
    </w:p>
    <w:p w:rsidR="006129BC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575A83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Перелік</w:t>
      </w: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27A24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Класифікація корупційних ризиків:</w:t>
      </w:r>
    </w:p>
    <w:p w:rsidR="00E526C8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1. Н</w:t>
      </w:r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едоброчесність при виконанні посадових обов’язків</w:t>
      </w: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29BC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E526C8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Етнично-психологічний</w:t>
      </w:r>
      <w:proofErr w:type="spellEnd"/>
      <w:r w:rsidR="00E526C8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аспекти та соціально-правові фактори мають досить великий впли</w:t>
      </w:r>
      <w:r w:rsidR="00673DC8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на сумлінність працівників</w:t>
      </w:r>
      <w:r w:rsidR="00673DC8" w:rsidRPr="00BA68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673DC8" w:rsidRPr="00BA68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  <w:t>НМетАУ</w:t>
      </w:r>
      <w:proofErr w:type="spellEnd"/>
      <w:r w:rsidR="00673DC8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26C8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 виконанні посадових обов’язків,  оскільки посадова особа завжди приймає рішення у першу чергу на підставі власного досвіду, психологічного відношення до </w:t>
      </w:r>
      <w:r w:rsidR="00E526C8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виконуваної роботи, а також ґрунтуючись на основних переконаннях і персональному соціально-матеріальному становищі. </w:t>
      </w:r>
    </w:p>
    <w:p w:rsidR="00CB74C5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2. В</w:t>
      </w:r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иникнення конфлікту інтересів</w:t>
      </w: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129BC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Конфлікт інтересів</w:t>
      </w: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 свою чергу, може виникнути спонтанно, з об’єктивних життєвих причин: навчання рідних і близьких людей,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бізнесінтереси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тощо.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явища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нести негатив в сферу </w:t>
      </w:r>
      <w:proofErr w:type="gram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державного</w:t>
      </w:r>
      <w:proofErr w:type="gram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тому,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наскільки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люди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реагувати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конфлікти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інтересів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виникли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по-можливості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знімати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переходити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іншу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відмовлятися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вигідних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корупціогенних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навчанні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освітній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свого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оточення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52FEE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</w:t>
      </w: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ідсутність</w:t>
      </w:r>
      <w:proofErr w:type="spellEnd"/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контролю </w:t>
      </w:r>
      <w:proofErr w:type="spellStart"/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боку </w:t>
      </w:r>
      <w:proofErr w:type="spellStart"/>
      <w:r w:rsidR="00B17716"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керівництва</w:t>
      </w:r>
      <w:proofErr w:type="spellEnd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52FEE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B17716" w:rsidRPr="00BA6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</w:t>
      </w:r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основою правопорядку та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безумовного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дотримання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основоположних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Відсутність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контролю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неналежний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призводить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втрати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відчуття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складається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хибне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враження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вседозволеності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безкарності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Періодичний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фрагментарний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дозволяє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пристосуватись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напрацювати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«тактику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перевірок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само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нівелює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ефективність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освітньої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Теза про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контролюючої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інстанції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неналежний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</w:t>
      </w:r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об’єктом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основною в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механізмі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освітньої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превентивний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надійній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протидії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ганебним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проявам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74C5" w:rsidRPr="00BA685F" w:rsidRDefault="00CB74C5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4.</w:t>
      </w:r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Наявність</w:t>
      </w:r>
      <w:proofErr w:type="spellEnd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дискреційних</w:t>
      </w:r>
      <w:proofErr w:type="spellEnd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BA68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404EC" w:rsidRPr="00BA685F" w:rsidRDefault="00673DC8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Наявність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17716" w:rsidRPr="00BA6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дискреційних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17716" w:rsidRPr="00BA685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неоднозначний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проявів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корупційних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ризиків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боку,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дискреція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вільний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розсуд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чиновника, нехай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межах чинного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пов’язуватися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можливістю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використати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ситуацію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свою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користь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дискреційної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складової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державному</w:t>
      </w:r>
      <w:proofErr w:type="gram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обійтися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неможливо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інструментом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ефективної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гнучкої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мобільної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адміністративної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якої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прагнуть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реформи</w:t>
      </w:r>
      <w:proofErr w:type="spellEnd"/>
      <w:r w:rsidR="00B17716"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2FEE" w:rsidRPr="00BA685F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Власне, дискреційне повноваження в сфері вищої освіти – це обмежений правом розсуд суб’єкта владних повноважень, який надається йому для оптимізації та індивідуалізації вирішення питань в межах закону.</w:t>
      </w:r>
    </w:p>
    <w:p w:rsidR="006129BC" w:rsidRPr="00BA685F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Правомірними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дискреційних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вважатись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супроводжувалось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дотриманням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спеціальних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proofErr w:type="gram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вимогами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стати:</w:t>
      </w:r>
    </w:p>
    <w:p w:rsidR="00852FEE" w:rsidRPr="00BA685F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об`єктивність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неупередженість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розуміти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зваженого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об’єктивного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поєднання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безсторонності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інтересу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52FEE" w:rsidRPr="00BA685F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рівність перед законом – це уніфіковане застосування до фізичних і юридичних осіб норм закону при регулюванні тотожних правовідносин між якісно однорідними групами суб’єктів;</w:t>
      </w:r>
    </w:p>
    <w:p w:rsidR="00852FEE" w:rsidRPr="00BA685F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пропорційність в діяльності посадової особи що відіграє роль балансу або допустимого для усіх суб’єктів правовідносин компромісу в процесі його управлінської діяльності;</w:t>
      </w:r>
    </w:p>
    <w:p w:rsidR="00524764" w:rsidRPr="00BA685F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– доцільність у прийнятті рішень посадовими особами з використанням дискреційних повноважень.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Єдине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застереження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протиставлення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доцільності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законності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вищої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субєктів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владних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недопустимим</w:t>
      </w:r>
      <w:proofErr w:type="spellEnd"/>
      <w:r w:rsidRPr="00BA6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508C" w:rsidRPr="00852FEE" w:rsidRDefault="00582C6B" w:rsidP="00852FE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A685F"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Отже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підсумовуючи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викладене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зазначити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усунення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корупційних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ризиків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685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673DC8"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3DC8" w:rsidRPr="00BA685F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="00673DC8" w:rsidRPr="00BA685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73DC8"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73DC8" w:rsidRPr="00BA685F">
        <w:rPr>
          <w:bCs/>
          <w:color w:val="000000"/>
          <w:kern w:val="36"/>
          <w:sz w:val="28"/>
          <w:szCs w:val="28"/>
          <w:lang w:val="uk-UA" w:eastAsia="ru-RU"/>
        </w:rPr>
        <w:t>НМетАУ</w:t>
      </w:r>
      <w:proofErr w:type="spellEnd"/>
      <w:r w:rsidR="00673DC8" w:rsidRPr="00BA685F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виключить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порушення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ними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, позитивно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вплине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покращення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685F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BA685F">
        <w:rPr>
          <w:color w:val="000000"/>
          <w:sz w:val="28"/>
          <w:szCs w:val="28"/>
          <w:shd w:val="clear" w:color="auto" w:fill="FFFFFF"/>
        </w:rPr>
        <w:t xml:space="preserve"> </w:t>
      </w:r>
      <w:r w:rsidRPr="00BA685F">
        <w:rPr>
          <w:color w:val="000000"/>
          <w:sz w:val="28"/>
          <w:szCs w:val="28"/>
          <w:shd w:val="clear" w:color="auto" w:fill="FFFFFF"/>
          <w:lang w:val="uk-UA"/>
        </w:rPr>
        <w:t xml:space="preserve">при наданні охвітних послуг. </w:t>
      </w:r>
      <w:r w:rsidR="0015508C" w:rsidRPr="00BA685F">
        <w:rPr>
          <w:rStyle w:val="1"/>
          <w:sz w:val="28"/>
          <w:szCs w:val="28"/>
        </w:rPr>
        <w:t>Перелік видів корупційних ризиків не є вичерпним.</w:t>
      </w:r>
    </w:p>
    <w:p w:rsidR="00582C6B" w:rsidRPr="00852FEE" w:rsidRDefault="00582C6B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17716" w:rsidRPr="00852FEE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716" w:rsidRPr="00852FEE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716" w:rsidRPr="00852FEE" w:rsidRDefault="00B17716" w:rsidP="00852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7716" w:rsidRPr="00852FEE" w:rsidSect="00B5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A70"/>
    <w:multiLevelType w:val="multilevel"/>
    <w:tmpl w:val="CD889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73"/>
    <w:rsid w:val="0000436A"/>
    <w:rsid w:val="0007722D"/>
    <w:rsid w:val="00102A4B"/>
    <w:rsid w:val="001153B0"/>
    <w:rsid w:val="0015508C"/>
    <w:rsid w:val="003F336E"/>
    <w:rsid w:val="00401594"/>
    <w:rsid w:val="004C46AA"/>
    <w:rsid w:val="00524764"/>
    <w:rsid w:val="00575A83"/>
    <w:rsid w:val="00582C6B"/>
    <w:rsid w:val="005A60D4"/>
    <w:rsid w:val="005D2E3A"/>
    <w:rsid w:val="006129BC"/>
    <w:rsid w:val="00673DC8"/>
    <w:rsid w:val="007606D4"/>
    <w:rsid w:val="00852FEE"/>
    <w:rsid w:val="00957273"/>
    <w:rsid w:val="00A1259E"/>
    <w:rsid w:val="00B17716"/>
    <w:rsid w:val="00B404EC"/>
    <w:rsid w:val="00B54B60"/>
    <w:rsid w:val="00BA685F"/>
    <w:rsid w:val="00C27A24"/>
    <w:rsid w:val="00CB74C5"/>
    <w:rsid w:val="00D66C52"/>
    <w:rsid w:val="00DF4656"/>
    <w:rsid w:val="00DF7933"/>
    <w:rsid w:val="00E526C8"/>
    <w:rsid w:val="00EE3C09"/>
    <w:rsid w:val="00F6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716"/>
    <w:rPr>
      <w:i/>
      <w:iCs/>
    </w:rPr>
  </w:style>
  <w:style w:type="paragraph" w:customStyle="1" w:styleId="rvps2">
    <w:name w:val="rvps2"/>
    <w:basedOn w:val="a"/>
    <w:rsid w:val="00B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7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93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"/>
    <w:rsid w:val="0015508C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15508C"/>
    <w:rPr>
      <w:color w:val="000000"/>
      <w:w w:val="100"/>
      <w:position w:val="0"/>
      <w:lang w:val="uk-UA"/>
    </w:rPr>
  </w:style>
  <w:style w:type="paragraph" w:customStyle="1" w:styleId="2">
    <w:name w:val="Основной текст2"/>
    <w:basedOn w:val="a"/>
    <w:link w:val="a7"/>
    <w:rsid w:val="0015508C"/>
    <w:pPr>
      <w:widowControl w:val="0"/>
      <w:shd w:val="clear" w:color="auto" w:fill="FFFFFF"/>
      <w:spacing w:after="420" w:line="432" w:lineRule="exact"/>
      <w:ind w:hanging="600"/>
      <w:jc w:val="right"/>
    </w:pPr>
    <w:rPr>
      <w:rFonts w:ascii="Times New Roman" w:eastAsia="Times New Roman" w:hAnsi="Times New Roman" w:cs="Times New Roman"/>
      <w:spacing w:val="7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0CAF-1FC5-4786-B85F-BD1CEA42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user</cp:lastModifiedBy>
  <cp:revision>8</cp:revision>
  <cp:lastPrinted>2017-07-25T18:31:00Z</cp:lastPrinted>
  <dcterms:created xsi:type="dcterms:W3CDTF">2017-12-02T06:32:00Z</dcterms:created>
  <dcterms:modified xsi:type="dcterms:W3CDTF">2020-08-12T08:41:00Z</dcterms:modified>
</cp:coreProperties>
</file>